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9C" w:rsidRDefault="00886B9C" w:rsidP="00886B9C">
      <w:pPr>
        <w:pStyle w:val="titulos"/>
      </w:pPr>
      <w:r>
        <w:t>LIBRO TERCERO</w:t>
      </w:r>
      <w:r>
        <w:br/>
        <w:t>DE LAS FEDERACIONES DE COOPERATIVAS DE AHORRO Y CRÉDITO</w:t>
      </w:r>
    </w:p>
    <w:p w:rsidR="00886B9C" w:rsidRDefault="00886B9C" w:rsidP="00886B9C">
      <w:pPr>
        <w:pStyle w:val="titulos"/>
      </w:pPr>
      <w:r>
        <w:br/>
        <w:t>TITULO ÚNICO</w:t>
      </w:r>
      <w:r>
        <w:br/>
        <w:t>ORGANIZACIÓN, ADMINISTRACIÓN Y FUNCIONAMIENTO</w:t>
      </w:r>
    </w:p>
    <w:p w:rsidR="00C74FE0" w:rsidRDefault="00886B9C" w:rsidP="00C74FE0">
      <w:pPr>
        <w:rPr>
          <w:emboss/>
          <w:color w:val="FF0000"/>
          <w:sz w:val="28"/>
          <w:szCs w:val="28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0324A9"/>
          <w:sz w:val="18"/>
          <w:szCs w:val="18"/>
        </w:rPr>
        <w:t>Naturaleza y Objeto</w:t>
      </w:r>
      <w:r>
        <w:rPr>
          <w:rFonts w:ascii="Verdana" w:hAnsi="Verdana"/>
          <w:color w:val="000000"/>
          <w:sz w:val="20"/>
          <w:szCs w:val="20"/>
        </w:rPr>
        <w:br/>
        <w:t>Art. 148.- Las federaciones son sociedades o asociaciones cooperativas, cuyos socios son sociedades cooperativas o asociaciones cooperativas de ahorro y crédito respectivamente.</w:t>
      </w:r>
      <w:r w:rsidRPr="00C74FE0">
        <w:rPr>
          <w:rFonts w:ascii="Verdana" w:hAnsi="Verdana"/>
          <w:color w:val="00B050"/>
          <w:sz w:val="20"/>
          <w:szCs w:val="20"/>
        </w:rPr>
        <w:t xml:space="preserve"> Se constituyen de acuerdo a su naturaleza mediante escritura pública</w:t>
      </w:r>
      <w:r>
        <w:rPr>
          <w:rFonts w:ascii="Verdana" w:hAnsi="Verdana"/>
          <w:color w:val="000000"/>
          <w:sz w:val="20"/>
          <w:szCs w:val="20"/>
        </w:rPr>
        <w:t xml:space="preserve"> por acciones, en forma de anónima o de asociaciones cooperativas reguladas por la Ley General de Asociaciones Cooperativas.</w:t>
      </w:r>
      <w:r w:rsidR="00C74FE0" w:rsidRPr="00C74FE0">
        <w:rPr>
          <w:emboss/>
          <w:color w:val="FF0000"/>
          <w:sz w:val="28"/>
          <w:szCs w:val="28"/>
        </w:rPr>
        <w:t xml:space="preserve"> </w:t>
      </w:r>
      <w:r w:rsidR="00C74FE0">
        <w:rPr>
          <w:emboss/>
          <w:color w:val="FF0000"/>
          <w:sz w:val="28"/>
          <w:szCs w:val="28"/>
        </w:rPr>
        <w:t>PPE****CSJ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Las federaciones tendrán como objeto fundamental propiciar el desarrollo de un sistema de cooperativas de ahorro y crédito eficiente, solvente y competitivo, dedicado a la prestación de servicios financieros en áreas urbanas y rurales principalmente para familias de bajos y medianos ingresos, y para </w:t>
      </w:r>
      <w:proofErr w:type="gramStart"/>
      <w:r>
        <w:rPr>
          <w:rFonts w:ascii="Verdana" w:hAnsi="Verdana"/>
          <w:color w:val="000000"/>
          <w:sz w:val="20"/>
          <w:szCs w:val="20"/>
        </w:rPr>
        <w:t>las micro</w:t>
      </w:r>
      <w:proofErr w:type="gramEnd"/>
      <w:r>
        <w:rPr>
          <w:rFonts w:ascii="Verdana" w:hAnsi="Verdana"/>
          <w:color w:val="000000"/>
          <w:sz w:val="20"/>
          <w:szCs w:val="20"/>
        </w:rPr>
        <w:t>, pequeñas y medianas empresas de los diferentes sectores económicos.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Al efecto corresponde a las federaciones: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Asesorar y capacitar a las cooperativas para su mejor desempeño como miembros de la federación, para el debido cumplimiento de esta Ley y para desempeñarse como intermediarias financieras eficientes, competitivas y solventes;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Actuar como caja central para apoyar a las cooperativas miembros en la administración de su liquidez;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Administrar el manejo de los encajes de las cooperativas que capten depósitos del público, de conformidad a lo establecido en los artículos 27 al 32 de esta Ley;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d) Intermediar recursos de instituciones públicas de crédito a sus afiliadas;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e) Intermediar recursos de líneas de créditos de otras fuentes;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f) Administrar el Fondo de Estabilización a que se refiere el Título III del Libro Segundo de esta Ley; y 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g) Ejercer la supervisión y fiscalización de las cooperativas que capten depósitos del público por delegación de la Superintendencia según lo establecido en los artículos 53 al 57 de esta Ley. 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C74FE0">
        <w:rPr>
          <w:rFonts w:ascii="Verdana" w:hAnsi="Verdana"/>
          <w:b/>
          <w:bCs/>
          <w:color w:val="00B050"/>
          <w:sz w:val="18"/>
          <w:szCs w:val="18"/>
        </w:rPr>
        <w:t>Calificación de Elegibilidad</w:t>
      </w:r>
      <w:r w:rsidRPr="00C74FE0">
        <w:rPr>
          <w:rFonts w:ascii="Verdana" w:hAnsi="Verdana"/>
          <w:color w:val="00B050"/>
          <w:sz w:val="20"/>
          <w:szCs w:val="20"/>
        </w:rPr>
        <w:br/>
        <w:t>Art. 149.- Las federaciones interesadas en obtener la calificación de elegibilidad, presentaran su solicitud a la Superintendencia acompañada de la siguiente información.</w:t>
      </w:r>
    </w:p>
    <w:p w:rsidR="00C74FE0" w:rsidRDefault="00886B9C" w:rsidP="00C74FE0">
      <w:pPr>
        <w:rPr>
          <w:emboss/>
          <w:color w:val="FF0000"/>
          <w:sz w:val="28"/>
          <w:szCs w:val="28"/>
        </w:rPr>
      </w:pPr>
      <w:r w:rsidRPr="00C74FE0">
        <w:rPr>
          <w:rFonts w:ascii="Verdana" w:hAnsi="Verdana"/>
          <w:color w:val="00B050"/>
          <w:sz w:val="20"/>
          <w:szCs w:val="20"/>
        </w:rPr>
        <w:t>a) Razón social, domicilio y número de miembros de las sociedades o asociaciones cooperativas afiliadas, debiendo estas últimas no ser inferior a diez;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C74FE0">
        <w:rPr>
          <w:emboss/>
          <w:color w:val="FF0000"/>
          <w:sz w:val="28"/>
          <w:szCs w:val="28"/>
        </w:rPr>
        <w:t>PPE****CSJ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C74FE0">
        <w:rPr>
          <w:rFonts w:ascii="Verdana" w:hAnsi="Verdana"/>
          <w:color w:val="00B050"/>
          <w:sz w:val="20"/>
          <w:szCs w:val="20"/>
        </w:rPr>
        <w:t>b) La escritura social en la que se incorporan los estatutos;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El esquema de organización y administración de la federación, las bases financieras de las operaciones que se están realizando y de las que se proyectan desarrollar; que le permitan a la Superintendencia apreciar, entre otros aspectos, el mantenimiento de una solvencia satisfactoria, lo aceptable de rentabilidad sobre el patrimonio neto y un nivel satisfactorio de liquidez;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d) La cuantía de las aportaciones de los socios; y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e) Las generales de los directores indicando la experiencia de estos últimos y las fuentes de referencias crediticias del sistema financiero que sean pertinentes, a fin de formarse un juicio sobre lo adecuado de la administración.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Superintendencia podrá asimismo exigir a los interesados en el plazo de treinta días contados a partir de la fecha de presentación de la solicitud, otras informaciones que crea pertinentes.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Superintendencia deberá resolver la solicitud dentro de los sesenta días siguientes a la fecha en que los peticionarios hayan proporcionado toda la información requerida.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Superintendencia concederá la calificación de la elegibilidad cuando, a su juicio, la situación y perspectivas de la federación, así como la honorabilidad y responsabilidad personales de sus directores y administradores, ofrezcan protección a los intereses del público.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Si la decisión fuere favorable a los peticionarios, la calificación de elegibilidad sé expedirá por resolución de la Superintendencia. En el caso dicha resolución estuviera condicionada a modificaciones a la escritura constitutiva, la Superintendencia debería indicar el plazo dentro del cual habrían de otorgarse las modificaciones a la misma.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Las federaciones quedarán sujetas a la fiscalización de la Superintendencia, de conformidad con lo que establece la Ley Orgánica de ésta y la presente Ley.</w:t>
      </w:r>
    </w:p>
    <w:p w:rsidR="00C74FE0" w:rsidRDefault="00886B9C" w:rsidP="00C74FE0">
      <w:pPr>
        <w:rPr>
          <w:emboss/>
          <w:color w:val="FF0000"/>
          <w:sz w:val="28"/>
          <w:szCs w:val="28"/>
        </w:rPr>
      </w:pPr>
      <w:r w:rsidRPr="00C74FE0">
        <w:rPr>
          <w:rFonts w:ascii="Verdana" w:hAnsi="Verdana"/>
          <w:b/>
          <w:bCs/>
          <w:color w:val="00B050"/>
          <w:sz w:val="18"/>
          <w:szCs w:val="18"/>
        </w:rPr>
        <w:t>Capital Social</w:t>
      </w:r>
      <w:r w:rsidRPr="00C74FE0">
        <w:rPr>
          <w:rFonts w:ascii="Verdana" w:hAnsi="Verdana"/>
          <w:color w:val="00B050"/>
          <w:sz w:val="20"/>
          <w:szCs w:val="20"/>
        </w:rPr>
        <w:br/>
        <w:t>Art. 150.- Toda federación calificada por la Superintendencia deberá registrar un capital social mínimo pagado de diez millones de colones; sin embargo para crear y administrar un Fondo de Estabilización, así como para poder ejercer la supervisión auxiliar, deberá contar con un capital mínimo de veinte millones de colones.</w:t>
      </w:r>
      <w:r w:rsidR="00C74FE0" w:rsidRPr="00C74FE0">
        <w:rPr>
          <w:emboss/>
          <w:color w:val="FF0000"/>
          <w:sz w:val="28"/>
          <w:szCs w:val="28"/>
        </w:rPr>
        <w:t xml:space="preserve"> </w:t>
      </w:r>
      <w:r w:rsidR="00C74FE0">
        <w:rPr>
          <w:emboss/>
          <w:color w:val="FF0000"/>
          <w:sz w:val="28"/>
          <w:szCs w:val="28"/>
        </w:rPr>
        <w:t>PPE****CSJ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El Consejo Directivo de la Superintendencia, cada dos años, tomando como base el </w:t>
      </w:r>
      <w:proofErr w:type="spellStart"/>
      <w:r>
        <w:rPr>
          <w:rFonts w:ascii="Verdana" w:hAnsi="Verdana"/>
          <w:color w:val="000000"/>
          <w:sz w:val="20"/>
          <w:szCs w:val="20"/>
        </w:rPr>
        <w:t>Indice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de Precios al Consumidor, previa opinión del Banco Central, deberá actualizar el monto del capital social pagado a que se refiere este artículo, de manera que mantenga su valor real. En este caso, las federaciones tendrán un plazo de ciento ochenta días para ajustar su capital social.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lastRenderedPageBreak/>
        <w:t>Operaciones</w:t>
      </w:r>
      <w:r>
        <w:rPr>
          <w:rFonts w:ascii="Verdana" w:hAnsi="Verdana"/>
          <w:color w:val="000000"/>
          <w:sz w:val="20"/>
          <w:szCs w:val="20"/>
        </w:rPr>
        <w:br/>
        <w:t>Art. 151.- Las federaciones quedan facultadas para efectuar las siguientes operaciones en moneda nacional y extranjera: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Recibir depósitos en cuenta de ahorros y a plazo de las cooperativas afiliadas;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Administrar tarjetas de débito;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Contraer obligaciones con personas jurídicas, nacionales o extranjeras, incluyendo al Banco Multisectorial de Inversiones, así como con organismos internacionales;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d) Operar sistemas de centralización de liquidez de las cooperativas, con la reglamentación específica;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e) Servir de agentes financieros de instituciones y empresas nacionales o extranjeras, para la colocación de recursos en el país;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f) Efectuar inversiones en </w:t>
      </w:r>
      <w:r w:rsidR="00C74FE0">
        <w:rPr>
          <w:rFonts w:ascii="Verdana" w:hAnsi="Verdana"/>
          <w:color w:val="000000"/>
          <w:sz w:val="20"/>
          <w:szCs w:val="20"/>
        </w:rPr>
        <w:t>títulos valores</w:t>
      </w:r>
      <w:r>
        <w:rPr>
          <w:rFonts w:ascii="Verdana" w:hAnsi="Verdana"/>
          <w:color w:val="000000"/>
          <w:sz w:val="20"/>
          <w:szCs w:val="20"/>
        </w:rPr>
        <w:t xml:space="preserve">, emitidos por el Estado o las instituciones autónomas;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g) Efectuar inversiones en </w:t>
      </w:r>
      <w:r w:rsidR="00C74FE0">
        <w:rPr>
          <w:rFonts w:ascii="Verdana" w:hAnsi="Verdana"/>
          <w:color w:val="000000"/>
          <w:sz w:val="20"/>
          <w:szCs w:val="20"/>
        </w:rPr>
        <w:t>títulos valores</w:t>
      </w:r>
      <w:r>
        <w:rPr>
          <w:rFonts w:ascii="Verdana" w:hAnsi="Verdana"/>
          <w:color w:val="000000"/>
          <w:sz w:val="20"/>
          <w:szCs w:val="20"/>
        </w:rPr>
        <w:t xml:space="preserve">, emitidos </w:t>
      </w:r>
      <w:proofErr w:type="spellStart"/>
      <w:r>
        <w:rPr>
          <w:rFonts w:ascii="Verdana" w:hAnsi="Verdana"/>
          <w:color w:val="000000"/>
          <w:sz w:val="20"/>
          <w:szCs w:val="20"/>
        </w:rPr>
        <w:t>pro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sociedades de capital debidamente inscritas en la bolsa de valores;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h) Conceder préstamos a las cooperativas afiliadas de acuerdo a las normas que al efecto dicte;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i) Administrar tarjetas de crédito de las cooperativas, previa autorización de la Superintendencia;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j) Mantener activos y pasivos en moneda extranjera y efectuar operaciones de compra y venta de divisas;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k) Constituirse en garante de obligaciones asumidas por las cooperativas afiliadas, a solicitud de éstas, previa autorización del Órgano Director de la federación;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l) Cobrar intereses, tasas, comisiones y otros recargos sobre las operaciones que efectúe y los servicios que preste;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m) Captar fondos mediante la emisión de bonos u otros </w:t>
      </w:r>
      <w:proofErr w:type="spellStart"/>
      <w:r>
        <w:rPr>
          <w:rFonts w:ascii="Verdana" w:hAnsi="Verdana"/>
          <w:color w:val="000000"/>
          <w:sz w:val="20"/>
          <w:szCs w:val="20"/>
        </w:rPr>
        <w:t>títulosvalores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negociables, previa autorización de la Superintendencia; y 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n) Otras operaciones activas y pasivas de crédito y otros servicios financieros, previa opinión favorable del Banco Central. 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C74FE0">
        <w:rPr>
          <w:rFonts w:ascii="Verdana" w:hAnsi="Verdana"/>
          <w:b/>
          <w:bCs/>
          <w:color w:val="00B050"/>
          <w:sz w:val="18"/>
          <w:szCs w:val="18"/>
        </w:rPr>
        <w:t>Límites en la Asunción de Riesgos con las Cooperativas</w:t>
      </w:r>
      <w:r w:rsidRPr="00C74FE0">
        <w:rPr>
          <w:rFonts w:ascii="Verdana" w:hAnsi="Verdana"/>
          <w:color w:val="00B050"/>
          <w:sz w:val="20"/>
          <w:szCs w:val="20"/>
        </w:rPr>
        <w:br/>
        <w:t>Art. 152.- Las federaciones no podrán conceder créditos ni asumir riesgos por más del diez por ciento de su fondo patrimonial con una misma cooperativa.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324A9"/>
          <w:sz w:val="18"/>
          <w:szCs w:val="18"/>
        </w:rPr>
        <w:t>Comité de Auditoría</w:t>
      </w:r>
      <w:r>
        <w:rPr>
          <w:rFonts w:ascii="Verdana" w:hAnsi="Verdana"/>
          <w:color w:val="000000"/>
          <w:sz w:val="20"/>
          <w:szCs w:val="20"/>
        </w:rPr>
        <w:br/>
        <w:t>Art. 153.- Toda federación con calificación de elegibilidad, contará con un comité de auditoría.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Cuando se trate de una federación de sociedades cooperativas, será nombrado por el Órgano Director e integrado por dos directores que no ostenten cargos ejecutivos </w:t>
      </w:r>
      <w:r>
        <w:rPr>
          <w:rFonts w:ascii="Verdana" w:hAnsi="Verdana"/>
          <w:color w:val="000000"/>
          <w:sz w:val="20"/>
          <w:szCs w:val="20"/>
        </w:rPr>
        <w:lastRenderedPageBreak/>
        <w:t>en la federación, un gerente y por el auditor interno. En el caso de una federación de asociaciones cooperativas el comité de auditoría se constituirá por dos miembros de la junta de vigilancia, un gerente y por el auditor interno.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Las funciones del Comité de Auditoría serán las siguientes: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a) Velar por el cumplimiento de los acuerdos de la asamblea general, Órgano Director y de las disposiciones de la Superintendencia y del Banco Central;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b) Dar seguimiento a los informes del auditor interno, del auditor externo y de la Superintendencia para corregir las observaciones que formulen sobre las operaciones de la federación;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Colaborar en el diseño y aplicación del control interno, así como proponer las medidas correctivas pertinentes; y 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d) Otras que disponga la Superintendencia.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Superintendencia emitirá las disposiciones que regulen el funcionamiento del Comité de Auditoría.</w:t>
      </w:r>
    </w:p>
    <w:p w:rsidR="00886B9C" w:rsidRPr="00C74FE0" w:rsidRDefault="00886B9C" w:rsidP="00886B9C">
      <w:pPr>
        <w:pStyle w:val="NormalWeb"/>
        <w:rPr>
          <w:rFonts w:ascii="Verdana" w:hAnsi="Verdana"/>
          <w:color w:val="00B050"/>
          <w:sz w:val="20"/>
          <w:szCs w:val="20"/>
        </w:rPr>
      </w:pPr>
      <w:r w:rsidRPr="00C74FE0">
        <w:rPr>
          <w:rStyle w:val="ladillos1"/>
          <w:color w:val="00B050"/>
        </w:rPr>
        <w:t>Régimen Aplicable</w:t>
      </w:r>
      <w:r w:rsidRPr="00C74FE0">
        <w:rPr>
          <w:rFonts w:ascii="Verdana" w:hAnsi="Verdana"/>
          <w:color w:val="00B050"/>
          <w:sz w:val="20"/>
          <w:szCs w:val="20"/>
        </w:rPr>
        <w:br/>
        <w:t>Art. 154.- Serán aplicables a las federaciones las disposiciones del Libro Segundo de esta Ley, en lo que no contravenga las normas específicas contenidas en el presente Libro.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La organización interna de las federaciones de sociedades cooperativas será determinada por sus propios estatutos.</w:t>
      </w:r>
    </w:p>
    <w:p w:rsidR="00886B9C" w:rsidRDefault="00886B9C" w:rsidP="00886B9C">
      <w:pPr>
        <w:pStyle w:val="NormalWeb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</w:t>
      </w:r>
    </w:p>
    <w:p w:rsidR="00A35648" w:rsidRPr="00886B9C" w:rsidRDefault="00A35648" w:rsidP="00886B9C"/>
    <w:sectPr w:rsidR="00A35648" w:rsidRPr="00886B9C" w:rsidSect="00A356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B9C"/>
    <w:rsid w:val="00886B9C"/>
    <w:rsid w:val="00A35648"/>
    <w:rsid w:val="00B86D29"/>
    <w:rsid w:val="00C74FE0"/>
    <w:rsid w:val="00D3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s">
    <w:name w:val="titulos"/>
    <w:basedOn w:val="Normal"/>
    <w:rsid w:val="00886B9C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b/>
      <w:bCs/>
      <w:color w:val="0324A9"/>
      <w:sz w:val="21"/>
      <w:szCs w:val="21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886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ladillos1">
    <w:name w:val="ladillos1"/>
    <w:basedOn w:val="Fuentedeprrafopredeter"/>
    <w:rsid w:val="00886B9C"/>
    <w:rPr>
      <w:rFonts w:ascii="Verdana" w:hAnsi="Verdana" w:hint="default"/>
      <w:b/>
      <w:bCs/>
      <w:i w:val="0"/>
      <w:iCs w:val="0"/>
      <w:caps w:val="0"/>
      <w:smallCaps w:val="0"/>
      <w:color w:val="0324A9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06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5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62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1273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DELL</cp:lastModifiedBy>
  <cp:revision>2</cp:revision>
  <dcterms:created xsi:type="dcterms:W3CDTF">2012-04-09T19:22:00Z</dcterms:created>
  <dcterms:modified xsi:type="dcterms:W3CDTF">2012-04-09T19:22:00Z</dcterms:modified>
</cp:coreProperties>
</file>